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52"/>
      </w:pPr>
      <w:r>
        <w:rPr>
          <w:rFonts w:ascii="Calibri" w:cs="Calibri" w:eastAsia="Calibri" w:hAnsi="Calibri"/>
          <w:b/>
          <w:bCs/>
          <w:sz w:val="32"/>
          <w:szCs w:val="32"/>
        </w:rPr>
        <w:t xml:space="preserve">Ernest T. Mandisodza</w:t>
      </w:r>
    </w:p>
    <w:p>
      <w:pPr>
        <w:spacing w:after="40" w:before="0" w:line="252"/>
      </w:pPr>
      <w:r>
        <w:rPr>
          <w:rFonts w:ascii="Calibri" w:cs="Calibri" w:eastAsia="Calibri" w:hAnsi="Calibri"/>
          <w:sz w:val="23"/>
          <w:szCs w:val="23"/>
        </w:rPr>
        <w:t xml:space="preserve">Senior Architectural Technologist / BIM Coordinator</w:t>
      </w:r>
    </w:p>
    <w:p>
      <w:pPr>
        <w:spacing w:after="60" w:before="0" w:line="252"/>
      </w:pPr>
      <w:r>
        <w:rPr>
          <w:rFonts w:ascii="Calibri" w:cs="Calibri" w:eastAsia="Calibri" w:hAnsi="Calibri"/>
          <w:sz w:val="20"/>
          <w:szCs w:val="20"/>
        </w:rPr>
        <w:t xml:space="preserve">Dubai, United Arab Emirates  |  +971 52 480 2107  |  ernest@ernix.io  |  ernix.io</w:t>
      </w:r>
    </w:p>
    <w:p>
      <w:pPr>
        <w:pBdr>
          <w:bottom w:val="single" w:color="000000" w:sz="6" w:space="2"/>
        </w:pBdr>
        <w:spacing w:after="100" w:before="260" w:line="252"/>
      </w:pPr>
      <w:r>
        <w:rPr>
          <w:rFonts w:ascii="Calibri" w:cs="Calibri" w:eastAsia="Calibri" w:hAnsi="Calibri"/>
          <w:b/>
          <w:bCs/>
          <w:caps/>
          <w:spacing w:val="12"/>
          <w:sz w:val="22"/>
          <w:szCs w:val="22"/>
        </w:rPr>
        <w:t xml:space="preserve">Professional summary</w:t>
      </w:r>
    </w:p>
    <w:p>
      <w:pPr>
        <w:spacing w:after="80" w:before="0" w:line="252"/>
      </w:pPr>
      <w:r>
        <w:rPr>
          <w:rFonts w:ascii="Calibri" w:cs="Calibri" w:eastAsia="Calibri" w:hAnsi="Calibri"/>
          <w:sz w:val="21"/>
          <w:szCs w:val="21"/>
        </w:rPr>
        <w:t xml:space="preserve">Senior architectural technologist and BIM coordinator with 12+ years of project delivery across data centre, supertall and high-rise residential, social housing, township master planning, education and heritage work in the UAE, Nigeria, DR Congo, South Africa and Zimbabwe. Senior technologist on mixed-use township master planning and residential estate delivery, carrying schemes through estate design review and municipal approval and staying with them into construction via RFIs. Coordination held directly on KenMas residential projects — QA/QC and visual and in-model clash coordination against structural and MEP teams, with the architectural model as the source for issued drawings. Core delivery at LOD 100–350. Equally able to start from a measured survey of an existing building as from a blank sheet. Regulatory delivery under SANS 10400, Dubai Municipality requirements, Abu Dhabi IBC and Eko Atlantic Building Regulations, with Estidama Pearl Rating work on a branded residential estate in Abu Dhabi. Holds a UAE resident permit; available internationally.</w:t>
      </w:r>
    </w:p>
    <w:p>
      <w:pPr>
        <w:pBdr>
          <w:bottom w:val="single" w:color="000000" w:sz="6" w:space="2"/>
        </w:pBdr>
        <w:spacing w:after="100" w:before="260" w:line="252"/>
      </w:pPr>
      <w:r>
        <w:rPr>
          <w:rFonts w:ascii="Calibri" w:cs="Calibri" w:eastAsia="Calibri" w:hAnsi="Calibri"/>
          <w:b/>
          <w:bCs/>
          <w:caps/>
          <w:spacing w:val="12"/>
          <w:sz w:val="22"/>
          <w:szCs w:val="22"/>
        </w:rPr>
        <w:t xml:space="preserve">Core skills</w:t>
      </w:r>
    </w:p>
    <w:p>
      <w:pPr>
        <w:spacing w:after="60" w:before="0" w:line="252"/>
      </w:pPr>
      <w:r>
        <w:rPr>
          <w:rFonts w:ascii="Calibri" w:cs="Calibri" w:eastAsia="Calibri" w:hAnsi="Calibri"/>
          <w:b/>
          <w:bCs/>
          <w:sz w:val="21"/>
          <w:szCs w:val="21"/>
        </w:rPr>
        <w:t xml:space="preserve">BIM authoring (advanced): </w:t>
      </w:r>
      <w:r>
        <w:rPr>
          <w:rFonts w:ascii="Calibri" w:cs="Calibri" w:eastAsia="Calibri" w:hAnsi="Calibri"/>
          <w:sz w:val="21"/>
          <w:szCs w:val="21"/>
        </w:rPr>
        <w:t xml:space="preserve">Autodesk Revit, AutoCAD. ArchiCAD — working knowledge.</w:t>
      </w:r>
    </w:p>
    <w:p>
      <w:pPr>
        <w:spacing w:after="60" w:before="0" w:line="252"/>
      </w:pPr>
      <w:r>
        <w:rPr>
          <w:rFonts w:ascii="Calibri" w:cs="Calibri" w:eastAsia="Calibri" w:hAnsi="Calibri"/>
          <w:b/>
          <w:bCs/>
          <w:sz w:val="21"/>
          <w:szCs w:val="21"/>
        </w:rPr>
        <w:t xml:space="preserve">Applied in delivery: </w:t>
      </w:r>
      <w:r>
        <w:rPr>
          <w:rFonts w:ascii="Calibri" w:cs="Calibri" w:eastAsia="Calibri" w:hAnsi="Calibri"/>
          <w:sz w:val="21"/>
          <w:szCs w:val="21"/>
        </w:rPr>
        <w:t xml:space="preserve">Visual and in-model clash coordination; survey-to-BIM and as-built capture; Autodesk Construction Cloud (ACC); model QA/QC; construction documentation and drawing registers; RFIs; site snagging and defect registers.</w:t>
      </w:r>
    </w:p>
    <w:p>
      <w:pPr>
        <w:spacing w:after="60" w:before="0" w:line="252"/>
      </w:pPr>
      <w:r>
        <w:rPr>
          <w:rFonts w:ascii="Calibri" w:cs="Calibri" w:eastAsia="Calibri" w:hAnsi="Calibri"/>
          <w:b/>
          <w:bCs/>
          <w:sz w:val="21"/>
          <w:szCs w:val="21"/>
        </w:rPr>
        <w:t xml:space="preserve">Working knowledge: </w:t>
      </w:r>
      <w:r>
        <w:rPr>
          <w:rFonts w:ascii="Calibri" w:cs="Calibri" w:eastAsia="Calibri" w:hAnsi="Calibri"/>
          <w:sz w:val="21"/>
          <w:szCs w:val="21"/>
        </w:rPr>
        <w:t xml:space="preserve">Navisworks, Dynamo, BIM 360 worksharing, Bluebeam Revu.</w:t>
      </w:r>
    </w:p>
    <w:p>
      <w:pPr>
        <w:spacing w:after="60" w:before="0" w:line="252"/>
      </w:pPr>
      <w:r>
        <w:rPr>
          <w:rFonts w:ascii="Calibri" w:cs="Calibri" w:eastAsia="Calibri" w:hAnsi="Calibri"/>
          <w:b/>
          <w:bCs/>
          <w:sz w:val="21"/>
          <w:szCs w:val="21"/>
        </w:rPr>
        <w:t xml:space="preserve">Visualisation: </w:t>
      </w:r>
      <w:r>
        <w:rPr>
          <w:rFonts w:ascii="Calibri" w:cs="Calibri" w:eastAsia="Calibri" w:hAnsi="Calibri"/>
          <w:sz w:val="21"/>
          <w:szCs w:val="21"/>
        </w:rPr>
        <w:t xml:space="preserve">Twinmotion, Lumion, Enscape, V-Ray, 3ds Max.</w:t>
      </w:r>
    </w:p>
    <w:p>
      <w:pPr>
        <w:spacing w:after="60" w:before="0" w:line="252"/>
      </w:pPr>
      <w:r>
        <w:rPr>
          <w:rFonts w:ascii="Calibri" w:cs="Calibri" w:eastAsia="Calibri" w:hAnsi="Calibri"/>
          <w:b/>
          <w:bCs/>
          <w:sz w:val="21"/>
          <w:szCs w:val="21"/>
        </w:rPr>
        <w:t xml:space="preserve">Documentation: </w:t>
      </w:r>
      <w:r>
        <w:rPr>
          <w:rFonts w:ascii="Calibri" w:cs="Calibri" w:eastAsia="Calibri" w:hAnsi="Calibri"/>
          <w:sz w:val="21"/>
          <w:szCs w:val="21"/>
        </w:rPr>
        <w:t xml:space="preserve">Adobe InDesign, Illustrator, Photoshop; Microsoft Office.</w:t>
      </w:r>
    </w:p>
    <w:p>
      <w:pPr>
        <w:spacing w:after="60" w:before="0" w:line="252"/>
      </w:pPr>
      <w:r>
        <w:rPr>
          <w:rFonts w:ascii="Calibri" w:cs="Calibri" w:eastAsia="Calibri" w:hAnsi="Calibri"/>
          <w:b/>
          <w:bCs/>
          <w:sz w:val="21"/>
          <w:szCs w:val="21"/>
        </w:rPr>
        <w:t xml:space="preserve">Delivered LOD range: </w:t>
      </w:r>
      <w:r>
        <w:rPr>
          <w:rFonts w:ascii="Calibri" w:cs="Calibri" w:eastAsia="Calibri" w:hAnsi="Calibri"/>
          <w:sz w:val="21"/>
          <w:szCs w:val="21"/>
        </w:rPr>
        <w:t xml:space="preserve">LOD 100–350; core delivery LOD 300–350, including supertall residential at LOD 350.</w:t>
      </w:r>
    </w:p>
    <w:p>
      <w:pPr>
        <w:spacing w:after="80" w:before="0" w:line="252"/>
      </w:pPr>
      <w:r>
        <w:rPr>
          <w:rFonts w:ascii="Calibri" w:cs="Calibri" w:eastAsia="Calibri" w:hAnsi="Calibri"/>
          <w:b/>
          <w:bCs/>
          <w:sz w:val="21"/>
          <w:szCs w:val="21"/>
        </w:rPr>
        <w:t xml:space="preserve">Standards and codes: </w:t>
      </w:r>
      <w:r>
        <w:rPr>
          <w:rFonts w:ascii="Calibri" w:cs="Calibri" w:eastAsia="Calibri" w:hAnsi="Calibri"/>
          <w:sz w:val="21"/>
          <w:szCs w:val="21"/>
        </w:rPr>
        <w:t xml:space="preserve">SANS 10400; Dubai Municipality requirements; Abu Dhabi IBC; Eko Atlantic Building Regulations; Estidama Pearl Rating (Bvlgari Abu Dhabi only).</w:t>
      </w:r>
    </w:p>
    <w:p>
      <w:pPr>
        <w:pBdr>
          <w:bottom w:val="single" w:color="000000" w:sz="6" w:space="2"/>
        </w:pBdr>
        <w:spacing w:after="100" w:before="260" w:line="252"/>
      </w:pPr>
      <w:r>
        <w:rPr>
          <w:rFonts w:ascii="Calibri" w:cs="Calibri" w:eastAsia="Calibri" w:hAnsi="Calibri"/>
          <w:b/>
          <w:bCs/>
          <w:caps/>
          <w:spacing w:val="12"/>
          <w:sz w:val="22"/>
          <w:szCs w:val="22"/>
        </w:rPr>
        <w:t xml:space="preserve">Professional experience</w:t>
      </w:r>
    </w:p>
    <w:p>
      <w:pPr>
        <w:spacing w:after="20" w:before="150" w:line="252"/>
      </w:pPr>
      <w:r>
        <w:rPr>
          <w:rFonts w:ascii="Calibri" w:cs="Calibri" w:eastAsia="Calibri" w:hAnsi="Calibri"/>
          <w:b/>
          <w:bCs/>
          <w:sz w:val="21"/>
          <w:szCs w:val="21"/>
        </w:rPr>
        <w:t xml:space="preserve">Mirage Leisure &amp; Development</w:t>
      </w:r>
      <w:r>
        <w:rPr>
          <w:rFonts w:ascii="Calibri" w:cs="Calibri" w:eastAsia="Calibri" w:hAnsi="Calibri"/>
          <w:sz w:val="21"/>
          <w:szCs w:val="21"/>
        </w:rPr>
        <w:t xml:space="preserve"> — Dubai, UAE  |  Aug 2025 – Present</w:t>
      </w:r>
    </w:p>
    <w:p>
      <w:pPr>
        <w:spacing w:after="60" w:before="0" w:line="252"/>
      </w:pPr>
      <w:r>
        <w:rPr>
          <w:rFonts w:ascii="Calibri" w:cs="Calibri" w:eastAsia="Calibri" w:hAnsi="Calibri"/>
          <w:b/>
          <w:bCs/>
          <w:sz w:val="20"/>
          <w:szCs w:val="20"/>
        </w:rPr>
        <w:t xml:space="preserve">BIM Architect</w:t>
      </w:r>
    </w:p>
    <w:p>
      <w:pPr>
        <w:pStyle w:val="ListParagraph"/>
        <w:numPr>
          <w:ilvl w:val="0"/>
          <w:numId w:val="2"/>
        </w:numPr>
        <w:spacing w:after="40" w:line="252"/>
      </w:pPr>
      <w:r>
        <w:rPr>
          <w:rFonts w:ascii="Calibri" w:cs="Calibri" w:eastAsia="Calibri" w:hAnsi="Calibri"/>
          <w:sz w:val="21"/>
          <w:szCs w:val="21"/>
        </w:rPr>
        <w:t xml:space="preserve">Architectural model authoring on supertall residential for Emaar at Dubai Creek Harbour — twin towers at 300m+, 400+ units, 50,000+ sqm — taken from schematic to detail design at LOD 350.</w:t>
      </w:r>
    </w:p>
    <w:p>
      <w:pPr>
        <w:pStyle w:val="ListParagraph"/>
        <w:numPr>
          <w:ilvl w:val="0"/>
          <w:numId w:val="2"/>
        </w:numPr>
        <w:spacing w:after="40" w:line="252"/>
      </w:pPr>
      <w:r>
        <w:rPr>
          <w:rFonts w:ascii="Calibri" w:cs="Calibri" w:eastAsia="Calibri" w:hAnsi="Calibri"/>
          <w:sz w:val="21"/>
          <w:szCs w:val="21"/>
        </w:rPr>
        <w:t xml:space="preserve">Architectural authoring on an ultra-luxury branded residential estate in Abu Dhabi, carrying multiple mansion typologies from detail design through to tender documentation.</w:t>
      </w:r>
    </w:p>
    <w:p>
      <w:pPr>
        <w:pStyle w:val="ListParagraph"/>
        <w:numPr>
          <w:ilvl w:val="0"/>
          <w:numId w:val="2"/>
        </w:numPr>
        <w:spacing w:after="40" w:line="252"/>
      </w:pPr>
      <w:r>
        <w:rPr>
          <w:rFonts w:ascii="Calibri" w:cs="Calibri" w:eastAsia="Calibri" w:hAnsi="Calibri"/>
          <w:sz w:val="21"/>
          <w:szCs w:val="21"/>
        </w:rPr>
        <w:t xml:space="preserve">Work assigned and reviewed by the project BIM coordinator; contribute architectural scope to the project model and support architectural–structural clash checking.</w:t>
      </w:r>
    </w:p>
    <w:p>
      <w:pPr>
        <w:pStyle w:val="ListParagraph"/>
        <w:numPr>
          <w:ilvl w:val="0"/>
          <w:numId w:val="2"/>
        </w:numPr>
        <w:spacing w:after="40" w:line="252"/>
      </w:pPr>
      <w:r>
        <w:rPr>
          <w:rFonts w:ascii="Calibri" w:cs="Calibri" w:eastAsia="Calibri" w:hAnsi="Calibri"/>
          <w:sz w:val="21"/>
          <w:szCs w:val="21"/>
        </w:rPr>
        <w:t xml:space="preserve">Produce architectural drawing output feeding each stage submission package.</w:t>
      </w:r>
    </w:p>
    <w:p>
      <w:pPr>
        <w:spacing w:after="20" w:before="150" w:line="252"/>
      </w:pPr>
      <w:r>
        <w:rPr>
          <w:rFonts w:ascii="Calibri" w:cs="Calibri" w:eastAsia="Calibri" w:hAnsi="Calibri"/>
          <w:b/>
          <w:bCs/>
          <w:sz w:val="21"/>
          <w:szCs w:val="21"/>
        </w:rPr>
        <w:t xml:space="preserve">MCE Architects</w:t>
      </w:r>
      <w:r>
        <w:rPr>
          <w:rFonts w:ascii="Calibri" w:cs="Calibri" w:eastAsia="Calibri" w:hAnsi="Calibri"/>
          <w:sz w:val="21"/>
          <w:szCs w:val="21"/>
        </w:rPr>
        <w:t xml:space="preserve"> — South Africa  |  Jan 2024 – Jan 2025</w:t>
      </w:r>
    </w:p>
    <w:p>
      <w:pPr>
        <w:spacing w:after="60" w:before="0" w:line="252"/>
      </w:pPr>
      <w:r>
        <w:rPr>
          <w:rFonts w:ascii="Calibri" w:cs="Calibri" w:eastAsia="Calibri" w:hAnsi="Calibri"/>
          <w:b/>
          <w:bCs/>
          <w:sz w:val="20"/>
          <w:szCs w:val="20"/>
        </w:rPr>
        <w:t xml:space="preserve">Senior Architectural Technologist</w:t>
      </w:r>
    </w:p>
    <w:p>
      <w:pPr>
        <w:pStyle w:val="ListParagraph"/>
        <w:numPr>
          <w:ilvl w:val="0"/>
          <w:numId w:val="2"/>
        </w:numPr>
        <w:spacing w:after="40" w:line="252"/>
      </w:pPr>
      <w:r>
        <w:rPr>
          <w:rFonts w:ascii="Calibri" w:cs="Calibri" w:eastAsia="Calibri" w:hAnsi="Calibri"/>
          <w:sz w:val="21"/>
          <w:szCs w:val="21"/>
        </w:rPr>
        <w:t xml:space="preserve">Urban design and master planning within the design team on Hospital View, a mixed-use township development taken to a provincial legislature for review.</w:t>
      </w:r>
    </w:p>
    <w:p>
      <w:pPr>
        <w:pStyle w:val="ListParagraph"/>
        <w:numPr>
          <w:ilvl w:val="0"/>
          <w:numId w:val="2"/>
        </w:numPr>
        <w:spacing w:after="40" w:line="252"/>
      </w:pPr>
      <w:r>
        <w:rPr>
          <w:rFonts w:ascii="Calibri" w:cs="Calibri" w:eastAsia="Calibri" w:hAnsi="Calibri"/>
          <w:sz w:val="21"/>
          <w:szCs w:val="21"/>
        </w:rPr>
        <w:t xml:space="preserve">Produced the master-planning layout — siting social housing and CRU units alongside schools, shopping centres, hospitals and clinics as a single spatial framework.</w:t>
      </w:r>
    </w:p>
    <w:p>
      <w:pPr>
        <w:pStyle w:val="ListParagraph"/>
        <w:numPr>
          <w:ilvl w:val="0"/>
          <w:numId w:val="2"/>
        </w:numPr>
        <w:spacing w:after="40" w:line="252"/>
      </w:pPr>
      <w:r>
        <w:rPr>
          <w:rFonts w:ascii="Calibri" w:cs="Calibri" w:eastAsia="Calibri" w:hAnsi="Calibri"/>
          <w:sz w:val="21"/>
          <w:szCs w:val="21"/>
        </w:rPr>
        <w:t xml:space="preserve">Produced the project's graphical output, including the material supporting the provincial legislature review.</w:t>
      </w:r>
    </w:p>
    <w:p>
      <w:pPr>
        <w:spacing w:after="20" w:before="150" w:line="252"/>
      </w:pPr>
      <w:r>
        <w:rPr>
          <w:rFonts w:ascii="Calibri" w:cs="Calibri" w:eastAsia="Calibri" w:hAnsi="Calibri"/>
          <w:b/>
          <w:bCs/>
          <w:sz w:val="21"/>
          <w:szCs w:val="21"/>
        </w:rPr>
        <w:t xml:space="preserve">Deepblack Property Developers</w:t>
      </w:r>
      <w:r>
        <w:rPr>
          <w:rFonts w:ascii="Calibri" w:cs="Calibri" w:eastAsia="Calibri" w:hAnsi="Calibri"/>
          <w:sz w:val="21"/>
          <w:szCs w:val="21"/>
        </w:rPr>
        <w:t xml:space="preserve"> — South Africa  |  2019 – Feb 2025</w:t>
      </w:r>
    </w:p>
    <w:p>
      <w:pPr>
        <w:spacing w:after="60" w:before="0" w:line="252"/>
      </w:pPr>
      <w:r>
        <w:rPr>
          <w:rFonts w:ascii="Calibri" w:cs="Calibri" w:eastAsia="Calibri" w:hAnsi="Calibri"/>
          <w:b/>
          <w:bCs/>
          <w:sz w:val="20"/>
          <w:szCs w:val="20"/>
        </w:rPr>
        <w:t xml:space="preserve">Architectural Technology Lead</w:t>
      </w:r>
    </w:p>
    <w:p>
      <w:pPr>
        <w:pStyle w:val="ListParagraph"/>
        <w:numPr>
          <w:ilvl w:val="0"/>
          <w:numId w:val="2"/>
        </w:numPr>
        <w:spacing w:after="40" w:line="252"/>
      </w:pPr>
      <w:r>
        <w:rPr>
          <w:rFonts w:ascii="Calibri" w:cs="Calibri" w:eastAsia="Calibri" w:hAnsi="Calibri"/>
          <w:sz w:val="21"/>
          <w:szCs w:val="21"/>
        </w:rPr>
        <w:t xml:space="preserve">Led architectural technology delivery across commercial and social housing schemes from feasibility to construction documentation, authoring in Revit with the model as the source for issued drawings.</w:t>
      </w:r>
    </w:p>
    <w:p>
      <w:pPr>
        <w:pStyle w:val="ListParagraph"/>
        <w:numPr>
          <w:ilvl w:val="0"/>
          <w:numId w:val="2"/>
        </w:numPr>
        <w:spacing w:after="40" w:line="252"/>
      </w:pPr>
      <w:r>
        <w:rPr>
          <w:rFonts w:ascii="Calibri" w:cs="Calibri" w:eastAsia="Calibri" w:hAnsi="Calibri"/>
          <w:sz w:val="21"/>
          <w:szCs w:val="21"/>
        </w:rPr>
        <w:t xml:space="preserve">Longest-held role — six years and 15+ projects, predominantly social housing and CRU (Community Residential Units) schemes, property development and town development, alongside smaller private residences.</w:t>
      </w:r>
    </w:p>
    <w:p>
      <w:pPr>
        <w:pStyle w:val="ListParagraph"/>
        <w:numPr>
          <w:ilvl w:val="0"/>
          <w:numId w:val="2"/>
        </w:numPr>
        <w:spacing w:after="40" w:line="252"/>
      </w:pPr>
      <w:r>
        <w:rPr>
          <w:rFonts w:ascii="Calibri" w:cs="Calibri" w:eastAsia="Calibri" w:hAnsi="Calibri"/>
          <w:sz w:val="21"/>
          <w:szCs w:val="21"/>
        </w:rPr>
        <w:t xml:space="preserve">Existing-stock work as well as new build — including Flamingo Heights, a condition assessment of existing social housing covering defects, building condition and repair needs, with the drawing record reproduced from scratch.</w:t>
      </w:r>
    </w:p>
    <w:p>
      <w:pPr>
        <w:pStyle w:val="ListParagraph"/>
        <w:numPr>
          <w:ilvl w:val="0"/>
          <w:numId w:val="2"/>
        </w:numPr>
        <w:spacing w:after="40" w:line="252"/>
      </w:pPr>
      <w:r>
        <w:rPr>
          <w:rFonts w:ascii="Calibri" w:cs="Calibri" w:eastAsia="Calibri" w:hAnsi="Calibri"/>
          <w:sz w:val="21"/>
          <w:szCs w:val="21"/>
        </w:rPr>
        <w:t xml:space="preserve">Coordinated with external structural and MEP consultants through design and documentation.</w:t>
      </w:r>
    </w:p>
    <w:p>
      <w:pPr>
        <w:pStyle w:val="ListParagraph"/>
        <w:numPr>
          <w:ilvl w:val="0"/>
          <w:numId w:val="2"/>
        </w:numPr>
        <w:spacing w:after="40" w:line="252"/>
      </w:pPr>
      <w:r>
        <w:rPr>
          <w:rFonts w:ascii="Calibri" w:cs="Calibri" w:eastAsia="Calibri" w:hAnsi="Calibri"/>
          <w:sz w:val="21"/>
          <w:szCs w:val="21"/>
        </w:rPr>
        <w:t xml:space="preserve">Delivered 3+ commercial projects to LOD 300, including documentation covering energy and water efficiency strategies.</w:t>
      </w:r>
    </w:p>
    <w:p>
      <w:pPr>
        <w:spacing w:after="20" w:before="150" w:line="252"/>
      </w:pPr>
      <w:r>
        <w:rPr>
          <w:rFonts w:ascii="Calibri" w:cs="Calibri" w:eastAsia="Calibri" w:hAnsi="Calibri"/>
          <w:b/>
          <w:bCs/>
          <w:sz w:val="21"/>
          <w:szCs w:val="21"/>
        </w:rPr>
        <w:t xml:space="preserve">KenMas Architects</w:t>
      </w:r>
      <w:r>
        <w:rPr>
          <w:rFonts w:ascii="Calibri" w:cs="Calibri" w:eastAsia="Calibri" w:hAnsi="Calibri"/>
          <w:sz w:val="21"/>
          <w:szCs w:val="21"/>
        </w:rPr>
        <w:t xml:space="preserve"> — South Africa  |  2020 – 2023</w:t>
      </w:r>
    </w:p>
    <w:p>
      <w:pPr>
        <w:spacing w:after="60" w:before="0" w:line="252"/>
      </w:pPr>
      <w:r>
        <w:rPr>
          <w:rFonts w:ascii="Calibri" w:cs="Calibri" w:eastAsia="Calibri" w:hAnsi="Calibri"/>
          <w:b/>
          <w:bCs/>
          <w:sz w:val="20"/>
          <w:szCs w:val="20"/>
        </w:rPr>
        <w:t xml:space="preserve">Architectural Technologist / Revit Technician</w:t>
      </w:r>
    </w:p>
    <w:p>
      <w:pPr>
        <w:pStyle w:val="ListParagraph"/>
        <w:numPr>
          <w:ilvl w:val="0"/>
          <w:numId w:val="2"/>
        </w:numPr>
        <w:spacing w:after="40" w:line="252"/>
      </w:pPr>
      <w:r>
        <w:rPr>
          <w:rFonts w:ascii="Calibri" w:cs="Calibri" w:eastAsia="Calibri" w:hAnsi="Calibri"/>
          <w:sz w:val="21"/>
          <w:szCs w:val="21"/>
        </w:rPr>
        <w:t xml:space="preserve">Technical delivery across four projects — 715 Oak Avenue (Ferndale), Edza Heights, Elisaph Apartments and Lotus Secondary School — spanning work stages 1–5 and existing-building assessment.</w:t>
      </w:r>
    </w:p>
    <w:p>
      <w:pPr>
        <w:pStyle w:val="ListParagraph"/>
        <w:numPr>
          <w:ilvl w:val="0"/>
          <w:numId w:val="2"/>
        </w:numPr>
        <w:spacing w:after="40" w:line="252"/>
      </w:pPr>
      <w:r>
        <w:rPr>
          <w:rFonts w:ascii="Calibri" w:cs="Calibri" w:eastAsia="Calibri" w:hAnsi="Calibri"/>
          <w:sz w:val="21"/>
          <w:szCs w:val="21"/>
        </w:rPr>
        <w:t xml:space="preserve">Held Architectural Technologist and BIM Coordinator roles together on 715 Oak Avenue, Ferndale — running coordination and QA/QC across the full package with the structural and MEP teams.</w:t>
      </w:r>
    </w:p>
    <w:p>
      <w:pPr>
        <w:pStyle w:val="ListParagraph"/>
        <w:numPr>
          <w:ilvl w:val="0"/>
          <w:numId w:val="2"/>
        </w:numPr>
        <w:spacing w:after="40" w:line="252"/>
      </w:pPr>
      <w:r>
        <w:rPr>
          <w:rFonts w:ascii="Calibri" w:cs="Calibri" w:eastAsia="Calibri" w:hAnsi="Calibri"/>
          <w:sz w:val="21"/>
          <w:szCs w:val="21"/>
        </w:rPr>
        <w:t xml:space="preserve">Carried out visual and in-model clash coordination, catching a high volume of conflicts and resolving them in-model before they reached site.</w:t>
      </w:r>
    </w:p>
    <w:p>
      <w:pPr>
        <w:pStyle w:val="ListParagraph"/>
        <w:numPr>
          <w:ilvl w:val="0"/>
          <w:numId w:val="2"/>
        </w:numPr>
        <w:spacing w:after="40" w:line="252"/>
      </w:pPr>
      <w:r>
        <w:rPr>
          <w:rFonts w:ascii="Calibri" w:cs="Calibri" w:eastAsia="Calibri" w:hAnsi="Calibri"/>
          <w:sz w:val="21"/>
          <w:szCs w:val="21"/>
        </w:rPr>
        <w:t xml:space="preserve">Conducted weekly site snagging inspections; issued defect registers and drove close-out with contractors, verifying built work against the model.</w:t>
      </w:r>
    </w:p>
    <w:p>
      <w:pPr>
        <w:pStyle w:val="ListParagraph"/>
        <w:numPr>
          <w:ilvl w:val="0"/>
          <w:numId w:val="2"/>
        </w:numPr>
        <w:spacing w:after="40" w:line="252"/>
      </w:pPr>
      <w:r>
        <w:rPr>
          <w:rFonts w:ascii="Calibri" w:cs="Calibri" w:eastAsia="Calibri" w:hAnsi="Calibri"/>
          <w:sz w:val="21"/>
          <w:szCs w:val="21"/>
        </w:rPr>
        <w:t xml:space="preserve">Produced coordinated models and full documentation sets to LOD 350 across concurrent projects.</w:t>
      </w:r>
    </w:p>
    <w:p>
      <w:pPr>
        <w:spacing w:after="20" w:before="150" w:line="252"/>
      </w:pPr>
      <w:r>
        <w:rPr>
          <w:rFonts w:ascii="Calibri" w:cs="Calibri" w:eastAsia="Calibri" w:hAnsi="Calibri"/>
          <w:b/>
          <w:bCs/>
          <w:sz w:val="21"/>
          <w:szCs w:val="21"/>
        </w:rPr>
        <w:t xml:space="preserve">Cycad Architects</w:t>
      </w:r>
      <w:r>
        <w:rPr>
          <w:rFonts w:ascii="Calibri" w:cs="Calibri" w:eastAsia="Calibri" w:hAnsi="Calibri"/>
          <w:sz w:val="21"/>
          <w:szCs w:val="21"/>
        </w:rPr>
        <w:t xml:space="preserve"> — South Africa  |  2016 – 2019</w:t>
      </w:r>
    </w:p>
    <w:p>
      <w:pPr>
        <w:spacing w:after="60" w:before="0" w:line="252"/>
      </w:pPr>
      <w:r>
        <w:rPr>
          <w:rFonts w:ascii="Calibri" w:cs="Calibri" w:eastAsia="Calibri" w:hAnsi="Calibri"/>
          <w:b/>
          <w:bCs/>
          <w:sz w:val="20"/>
          <w:szCs w:val="20"/>
        </w:rPr>
        <w:t xml:space="preserve">Architectural Technologist</w:t>
      </w:r>
    </w:p>
    <w:p>
      <w:pPr>
        <w:pStyle w:val="ListParagraph"/>
        <w:numPr>
          <w:ilvl w:val="0"/>
          <w:numId w:val="2"/>
        </w:numPr>
        <w:spacing w:after="40" w:line="252"/>
      </w:pPr>
      <w:r>
        <w:rPr>
          <w:rFonts w:ascii="Calibri" w:cs="Calibri" w:eastAsia="Calibri" w:hAnsi="Calibri"/>
          <w:sz w:val="21"/>
          <w:szCs w:val="21"/>
        </w:rPr>
        <w:t xml:space="preserve">Delivered residential design and documentation across work stages 1–5 at LOD 100–350.</w:t>
      </w:r>
    </w:p>
    <w:p>
      <w:pPr>
        <w:pStyle w:val="ListParagraph"/>
        <w:numPr>
          <w:ilvl w:val="0"/>
          <w:numId w:val="2"/>
        </w:numPr>
        <w:spacing w:after="40" w:line="252"/>
      </w:pPr>
      <w:r>
        <w:rPr>
          <w:rFonts w:ascii="Calibri" w:cs="Calibri" w:eastAsia="Calibri" w:hAnsi="Calibri"/>
          <w:sz w:val="21"/>
          <w:szCs w:val="21"/>
        </w:rPr>
        <w:t xml:space="preserve">Set up project models and drawing registers; coordinated consultant drawings into the architectural set for municipal submission and construction.</w:t>
      </w:r>
    </w:p>
    <w:p>
      <w:pPr>
        <w:spacing w:after="20" w:before="150" w:line="252"/>
      </w:pPr>
      <w:r>
        <w:rPr>
          <w:rFonts w:ascii="Calibri" w:cs="Calibri" w:eastAsia="Calibri" w:hAnsi="Calibri"/>
          <w:b/>
          <w:bCs/>
          <w:sz w:val="21"/>
          <w:szCs w:val="21"/>
        </w:rPr>
        <w:t xml:space="preserve">Design and Build</w:t>
      </w:r>
      <w:r>
        <w:rPr>
          <w:rFonts w:ascii="Calibri" w:cs="Calibri" w:eastAsia="Calibri" w:hAnsi="Calibri"/>
          <w:sz w:val="21"/>
          <w:szCs w:val="21"/>
        </w:rPr>
        <w:t xml:space="preserve"> — D.R. Congo  |  2015 – 2016</w:t>
      </w:r>
    </w:p>
    <w:p>
      <w:pPr>
        <w:spacing w:after="60" w:before="0" w:line="252"/>
      </w:pPr>
      <w:r>
        <w:rPr>
          <w:rFonts w:ascii="Calibri" w:cs="Calibri" w:eastAsia="Calibri" w:hAnsi="Calibri"/>
          <w:b/>
          <w:bCs/>
          <w:sz w:val="20"/>
          <w:szCs w:val="20"/>
        </w:rPr>
        <w:t xml:space="preserve">Architectural Technologist</w:t>
      </w:r>
    </w:p>
    <w:p>
      <w:pPr>
        <w:pStyle w:val="ListParagraph"/>
        <w:numPr>
          <w:ilvl w:val="0"/>
          <w:numId w:val="2"/>
        </w:numPr>
        <w:spacing w:after="40" w:line="252"/>
      </w:pPr>
      <w:r>
        <w:rPr>
          <w:rFonts w:ascii="Calibri" w:cs="Calibri" w:eastAsia="Calibri" w:hAnsi="Calibri"/>
          <w:sz w:val="21"/>
          <w:szCs w:val="21"/>
        </w:rPr>
        <w:t xml:space="preserve">Delivered work stages 1–5 with on-site technical support under a contractor-led design-and-build model, working to compressed construction programmes.</w:t>
      </w:r>
    </w:p>
    <w:p>
      <w:pPr>
        <w:spacing w:after="20" w:before="150" w:line="252"/>
      </w:pPr>
      <w:r>
        <w:rPr>
          <w:rFonts w:ascii="Calibri" w:cs="Calibri" w:eastAsia="Calibri" w:hAnsi="Calibri"/>
          <w:b/>
          <w:bCs/>
          <w:sz w:val="21"/>
          <w:szCs w:val="21"/>
        </w:rPr>
        <w:t xml:space="preserve">Richnow</w:t>
      </w:r>
      <w:r>
        <w:rPr>
          <w:rFonts w:ascii="Calibri" w:cs="Calibri" w:eastAsia="Calibri" w:hAnsi="Calibri"/>
          <w:sz w:val="21"/>
          <w:szCs w:val="21"/>
        </w:rPr>
        <w:t xml:space="preserve"> — D.R. Congo  |  2015 – 2025</w:t>
      </w:r>
    </w:p>
    <w:p>
      <w:pPr>
        <w:spacing w:after="60" w:before="0" w:line="252"/>
      </w:pPr>
      <w:r>
        <w:rPr>
          <w:rFonts w:ascii="Calibri" w:cs="Calibri" w:eastAsia="Calibri" w:hAnsi="Calibri"/>
          <w:b/>
          <w:bCs/>
          <w:sz w:val="20"/>
          <w:szCs w:val="20"/>
        </w:rPr>
        <w:t xml:space="preserve">Freelance Consulting — Architectural &amp; BIM</w:t>
      </w:r>
    </w:p>
    <w:p>
      <w:pPr>
        <w:pStyle w:val="ListParagraph"/>
        <w:numPr>
          <w:ilvl w:val="0"/>
          <w:numId w:val="2"/>
        </w:numPr>
        <w:spacing w:after="40" w:line="252"/>
      </w:pPr>
      <w:r>
        <w:rPr>
          <w:rFonts w:ascii="Calibri" w:cs="Calibri" w:eastAsia="Calibri" w:hAnsi="Calibri"/>
          <w:sz w:val="21"/>
          <w:szCs w:val="21"/>
        </w:rPr>
        <w:t xml:space="preserve">Ten-year consulting relationship providing architectural and BIM support on projects in the DRC.</w:t>
      </w:r>
    </w:p>
    <w:p>
      <w:pPr>
        <w:pStyle w:val="ListParagraph"/>
        <w:numPr>
          <w:ilvl w:val="0"/>
          <w:numId w:val="2"/>
        </w:numPr>
        <w:spacing w:after="40" w:line="252"/>
      </w:pPr>
      <w:r>
        <w:rPr>
          <w:rFonts w:ascii="Calibri" w:cs="Calibri" w:eastAsia="Calibri" w:hAnsi="Calibri"/>
          <w:sz w:val="21"/>
          <w:szCs w:val="21"/>
        </w:rPr>
        <w:t xml:space="preserve">Revit authoring, documentation and visualisation delivered remotely alongside South African and UAE roles.</w:t>
      </w:r>
    </w:p>
    <w:p>
      <w:pPr>
        <w:spacing w:after="20" w:before="150" w:line="252"/>
      </w:pPr>
      <w:r>
        <w:rPr>
          <w:rFonts w:ascii="Calibri" w:cs="Calibri" w:eastAsia="Calibri" w:hAnsi="Calibri"/>
          <w:b/>
          <w:bCs/>
          <w:sz w:val="21"/>
          <w:szCs w:val="21"/>
        </w:rPr>
        <w:t xml:space="preserve">Inov-Afric</w:t>
      </w:r>
      <w:r>
        <w:rPr>
          <w:rFonts w:ascii="Calibri" w:cs="Calibri" w:eastAsia="Calibri" w:hAnsi="Calibri"/>
          <w:sz w:val="21"/>
          <w:szCs w:val="21"/>
        </w:rPr>
        <w:t xml:space="preserve"> — Zimbabwe / South Africa  |  2013 – 2024</w:t>
      </w:r>
    </w:p>
    <w:p>
      <w:pPr>
        <w:spacing w:after="60" w:before="0" w:line="252"/>
      </w:pPr>
      <w:r>
        <w:rPr>
          <w:rFonts w:ascii="Calibri" w:cs="Calibri" w:eastAsia="Calibri" w:hAnsi="Calibri"/>
          <w:b/>
          <w:bCs/>
          <w:sz w:val="20"/>
          <w:szCs w:val="20"/>
        </w:rPr>
        <w:t xml:space="preserve">Freelance Consulting — Architectural &amp; BIM</w:t>
      </w:r>
    </w:p>
    <w:p>
      <w:pPr>
        <w:pStyle w:val="ListParagraph"/>
        <w:numPr>
          <w:ilvl w:val="0"/>
          <w:numId w:val="2"/>
        </w:numPr>
        <w:spacing w:after="40" w:line="252"/>
      </w:pPr>
      <w:r>
        <w:rPr>
          <w:rFonts w:ascii="Calibri" w:cs="Calibri" w:eastAsia="Calibri" w:hAnsi="Calibri"/>
          <w:sz w:val="21"/>
          <w:szCs w:val="21"/>
        </w:rPr>
        <w:t xml:space="preserve">Outsourced work stages 1–3, BIM production and technical support to architects and developers.</w:t>
      </w:r>
    </w:p>
    <w:p>
      <w:pPr>
        <w:pStyle w:val="ListParagraph"/>
        <w:numPr>
          <w:ilvl w:val="0"/>
          <w:numId w:val="2"/>
        </w:numPr>
        <w:spacing w:after="40" w:line="252"/>
      </w:pPr>
      <w:r>
        <w:rPr>
          <w:rFonts w:ascii="Calibri" w:cs="Calibri" w:eastAsia="Calibri" w:hAnsi="Calibri"/>
          <w:sz w:val="21"/>
          <w:szCs w:val="21"/>
        </w:rPr>
        <w:t xml:space="preserve">Picked up incomplete models from other offices and brought them to a documentable, issuable state.</w:t>
      </w:r>
    </w:p>
    <w:p>
      <w:pPr>
        <w:pBdr>
          <w:bottom w:val="single" w:color="000000" w:sz="6" w:space="2"/>
        </w:pBdr>
        <w:spacing w:after="100" w:before="260" w:line="252"/>
      </w:pPr>
      <w:r>
        <w:rPr>
          <w:rFonts w:ascii="Calibri" w:cs="Calibri" w:eastAsia="Calibri" w:hAnsi="Calibri"/>
          <w:b/>
          <w:bCs/>
          <w:caps/>
          <w:spacing w:val="12"/>
          <w:sz w:val="22"/>
          <w:szCs w:val="22"/>
        </w:rPr>
        <w:t xml:space="preserve">Selected projects</w:t>
      </w:r>
    </w:p>
    <w:p>
      <w:pPr>
        <w:spacing w:after="40" w:before="60" w:line="252"/>
      </w:pPr>
      <w:r>
        <w:rPr>
          <w:rFonts w:ascii="Calibri" w:cs="Calibri" w:eastAsia="Calibri" w:hAnsi="Calibri"/>
          <w:b/>
          <w:bCs/>
          <w:sz w:val="20"/>
          <w:szCs w:val="20"/>
        </w:rPr>
        <w:t xml:space="preserve">Commercial</w:t>
      </w:r>
    </w:p>
    <w:p>
      <w:pPr>
        <w:spacing w:after="60" w:before="0" w:line="252"/>
      </w:pPr>
      <w:r>
        <w:rPr>
          <w:rFonts w:ascii="Calibri" w:cs="Calibri" w:eastAsia="Calibri" w:hAnsi="Calibri"/>
          <w:b/>
          <w:bCs/>
          <w:sz w:val="21"/>
          <w:szCs w:val="21"/>
        </w:rPr>
        <w:t xml:space="preserve">SW9 &amp; SW13 Residential Towers</w:t>
      </w:r>
      <w:r>
        <w:rPr>
          <w:rFonts w:ascii="Calibri" w:cs="Calibri" w:eastAsia="Calibri" w:hAnsi="Calibri"/>
          <w:sz w:val="21"/>
          <w:szCs w:val="21"/>
        </w:rPr>
        <w:t xml:space="preserve"> — Mirage Leisure &amp; Development for Emaar Properties; Dubai Creek Harbour, UAE. Twin supertall residential towers, 300m+, 400+ units, 50,000+ sqm GFA, five podium parking levels. BIM Architect, architectural model author (supporting), LOD 350, schematic to detail design.</w:t>
      </w:r>
    </w:p>
    <w:p>
      <w:pPr>
        <w:spacing w:after="60" w:before="0" w:line="252"/>
      </w:pPr>
      <w:r>
        <w:rPr>
          <w:rFonts w:ascii="Calibri" w:cs="Calibri" w:eastAsia="Calibri" w:hAnsi="Calibri"/>
          <w:b/>
          <w:bCs/>
          <w:sz w:val="21"/>
          <w:szCs w:val="21"/>
        </w:rPr>
        <w:t xml:space="preserve">Bvlgari Abu Dhabi</w:t>
      </w:r>
      <w:r>
        <w:rPr>
          <w:rFonts w:ascii="Calibri" w:cs="Calibri" w:eastAsia="Calibri" w:hAnsi="Calibri"/>
          <w:sz w:val="21"/>
          <w:szCs w:val="21"/>
        </w:rPr>
        <w:t xml:space="preserve"> — Mirage Leisure &amp; Development for Eagle Hills Regional Properties; Abu Dhabi, UAE. Ultra-luxury branded residential estate, multiple low-rise mansion typologies. BIM Architect, LOD 350, detail design to tender. Estidama Pearl Rating and Abu Dhabi IBC.</w:t>
      </w:r>
    </w:p>
    <w:p>
      <w:pPr>
        <w:spacing w:after="60" w:before="0" w:line="252"/>
      </w:pPr>
      <w:r>
        <w:rPr>
          <w:rFonts w:ascii="Calibri" w:cs="Calibri" w:eastAsia="Calibri" w:hAnsi="Calibri"/>
          <w:b/>
          <w:bCs/>
          <w:sz w:val="21"/>
          <w:szCs w:val="21"/>
        </w:rPr>
        <w:t xml:space="preserve">Africa Data Centres LOS1</w:t>
      </w:r>
      <w:r>
        <w:rPr>
          <w:rFonts w:ascii="Calibri" w:cs="Calibri" w:eastAsia="Calibri" w:hAnsi="Calibri"/>
          <w:sz w:val="21"/>
          <w:szCs w:val="21"/>
        </w:rPr>
        <w:t xml:space="preserve"> — SBTJA Architects with ARUP; Eko Atlantic City, Lagos, Nigeria. 20.65 MW Tier III data centre, six data halls, 6,000 sqm white space. Architectural Technologist — design input, working drawings and clash coordination. Phase 1 at LOD 300; phases 2–3 design development at LOD 100. Eko Atlantic Building Regulations.</w:t>
      </w:r>
    </w:p>
    <w:p>
      <w:pPr>
        <w:spacing w:after="40" w:before="100" w:line="252"/>
      </w:pPr>
      <w:r>
        <w:rPr>
          <w:rFonts w:ascii="Calibri" w:cs="Calibri" w:eastAsia="Calibri" w:hAnsi="Calibri"/>
          <w:b/>
          <w:bCs/>
          <w:sz w:val="20"/>
          <w:szCs w:val="20"/>
        </w:rPr>
        <w:t xml:space="preserve">Residential</w:t>
      </w:r>
    </w:p>
    <w:p>
      <w:pPr>
        <w:spacing w:after="60" w:before="0" w:line="252"/>
      </w:pPr>
      <w:r>
        <w:rPr>
          <w:rFonts w:ascii="Calibri" w:cs="Calibri" w:eastAsia="Calibri" w:hAnsi="Calibri"/>
          <w:b/>
          <w:bCs/>
          <w:sz w:val="21"/>
          <w:szCs w:val="21"/>
        </w:rPr>
        <w:t xml:space="preserve">715 Oak Avenue, Ferndale</w:t>
      </w:r>
      <w:r>
        <w:rPr>
          <w:rFonts w:ascii="Calibri" w:cs="Calibri" w:eastAsia="Calibri" w:hAnsi="Calibri"/>
          <w:sz w:val="21"/>
          <w:szCs w:val="21"/>
        </w:rPr>
        <w:t xml:space="preserve"> — KenMas Architects; Randburg, Johannesburg, South Africa. 11-storey residential apartments over three podium levels. Architectural Technologist and BIM Coordinator, stages 1–5 to site. SANS 10400.</w:t>
      </w:r>
    </w:p>
    <w:p>
      <w:pPr>
        <w:spacing w:after="60" w:before="0" w:line="252"/>
      </w:pPr>
      <w:r>
        <w:rPr>
          <w:rFonts w:ascii="Calibri" w:cs="Calibri" w:eastAsia="Calibri" w:hAnsi="Calibri"/>
          <w:b/>
          <w:bCs/>
          <w:sz w:val="21"/>
          <w:szCs w:val="21"/>
        </w:rPr>
        <w:t xml:space="preserve">Xanadu</w:t>
      </w:r>
      <w:r>
        <w:rPr>
          <w:rFonts w:ascii="Calibri" w:cs="Calibri" w:eastAsia="Calibri" w:hAnsi="Calibri"/>
          <w:sz w:val="21"/>
          <w:szCs w:val="21"/>
        </w:rPr>
        <w:t xml:space="preserve"> — Monaha; Xanadu Eco Estate, Hartbeespoort, South Africa. Luxury three-storey private mansion. Architectural Designer, full architectural scope; estate design review and municipal approval. Complete.</w:t>
      </w:r>
    </w:p>
    <w:p>
      <w:pPr>
        <w:spacing w:after="60" w:before="0" w:line="252"/>
      </w:pPr>
      <w:r>
        <w:rPr>
          <w:rFonts w:ascii="Calibri" w:cs="Calibri" w:eastAsia="Calibri" w:hAnsi="Calibri"/>
          <w:b/>
          <w:bCs/>
          <w:sz w:val="21"/>
          <w:szCs w:val="21"/>
        </w:rPr>
        <w:t xml:space="preserve">Kosmos Estate Holiday Home</w:t>
      </w:r>
      <w:r>
        <w:rPr>
          <w:rFonts w:ascii="Calibri" w:cs="Calibri" w:eastAsia="Calibri" w:hAnsi="Calibri"/>
          <w:sz w:val="21"/>
          <w:szCs w:val="21"/>
        </w:rPr>
        <w:t xml:space="preserve"> — Monaha; South Africa. Private holiday home, 370 sqm, within an estate. Architectural Designer, full architectural scope; two-stage approval route.</w:t>
      </w:r>
    </w:p>
    <w:p>
      <w:pPr>
        <w:spacing w:after="60" w:before="0" w:line="252"/>
      </w:pPr>
      <w:r>
        <w:rPr>
          <w:rFonts w:ascii="Calibri" w:cs="Calibri" w:eastAsia="Calibri" w:hAnsi="Calibri"/>
          <w:b/>
          <w:bCs/>
          <w:sz w:val="21"/>
          <w:szCs w:val="21"/>
        </w:rPr>
        <w:t xml:space="preserve">Edza Heights</w:t>
      </w:r>
      <w:r>
        <w:rPr>
          <w:rFonts w:ascii="Calibri" w:cs="Calibri" w:eastAsia="Calibri" w:hAnsi="Calibri"/>
          <w:sz w:val="21"/>
          <w:szCs w:val="21"/>
        </w:rPr>
        <w:t xml:space="preserve"> — KenMas Architects; South Africa. Residential estate. Senior Architectural Technologist — municipal drawings, approval and construction-stage RFIs.</w:t>
      </w:r>
    </w:p>
    <w:p>
      <w:pPr>
        <w:spacing w:after="60" w:before="0" w:line="252"/>
      </w:pPr>
      <w:r>
        <w:rPr>
          <w:rFonts w:ascii="Calibri" w:cs="Calibri" w:eastAsia="Calibri" w:hAnsi="Calibri"/>
          <w:b/>
          <w:bCs/>
          <w:sz w:val="21"/>
          <w:szCs w:val="21"/>
        </w:rPr>
        <w:t xml:space="preserve">Elisaph Apartments</w:t>
      </w:r>
      <w:r>
        <w:rPr>
          <w:rFonts w:ascii="Calibri" w:cs="Calibri" w:eastAsia="Calibri" w:hAnsi="Calibri"/>
          <w:sz w:val="21"/>
          <w:szCs w:val="21"/>
        </w:rPr>
        <w:t xml:space="preserve"> — KenMas Architects; South Africa. Residential apartments on a sloping site with a rock bed. Architectural Technologist and BIM Coordinator — stepped platforms, coordination and QA/QC.</w:t>
      </w:r>
    </w:p>
    <w:p>
      <w:pPr>
        <w:spacing w:after="60" w:before="0" w:line="252"/>
      </w:pPr>
      <w:r>
        <w:rPr>
          <w:rFonts w:ascii="Calibri" w:cs="Calibri" w:eastAsia="Calibri" w:hAnsi="Calibri"/>
          <w:b/>
          <w:bCs/>
          <w:sz w:val="21"/>
          <w:szCs w:val="21"/>
        </w:rPr>
        <w:t xml:space="preserve">Erf 32, Sable Hills Estate</w:t>
      </w:r>
      <w:r>
        <w:rPr>
          <w:rFonts w:ascii="Calibri" w:cs="Calibri" w:eastAsia="Calibri" w:hAnsi="Calibri"/>
          <w:sz w:val="21"/>
          <w:szCs w:val="21"/>
        </w:rPr>
        <w:t xml:space="preserve"> — Cycad Architects; Roodeplaat, South Africa. Luxury three-storey private residence. Architectural Technologist — technical documentation, 3D renders and municipal approval. SANS 10400.</w:t>
      </w:r>
    </w:p>
    <w:p>
      <w:pPr>
        <w:spacing w:after="40" w:before="100" w:line="252"/>
      </w:pPr>
      <w:r>
        <w:rPr>
          <w:rFonts w:ascii="Calibri" w:cs="Calibri" w:eastAsia="Calibri" w:hAnsi="Calibri"/>
          <w:b/>
          <w:bCs/>
          <w:sz w:val="20"/>
          <w:szCs w:val="20"/>
        </w:rPr>
        <w:t xml:space="preserve">Township development &amp; master planning</w:t>
      </w:r>
    </w:p>
    <w:p>
      <w:pPr>
        <w:spacing w:after="60" w:before="0" w:line="252"/>
      </w:pPr>
      <w:r>
        <w:rPr>
          <w:rFonts w:ascii="Calibri" w:cs="Calibri" w:eastAsia="Calibri" w:hAnsi="Calibri"/>
          <w:b/>
          <w:bCs/>
          <w:sz w:val="21"/>
          <w:szCs w:val="21"/>
        </w:rPr>
        <w:t xml:space="preserve">Hospital View</w:t>
      </w:r>
      <w:r>
        <w:rPr>
          <w:rFonts w:ascii="Calibri" w:cs="Calibri" w:eastAsia="Calibri" w:hAnsi="Calibri"/>
          <w:sz w:val="21"/>
          <w:szCs w:val="21"/>
        </w:rPr>
        <w:t xml:space="preserve"> — MCE Architects; South Africa. Mixed-use township master plan — residential, education, retail, health and civic. Senior Architectural Technologist, design team. Under provincial legislature review.</w:t>
      </w:r>
    </w:p>
    <w:p>
      <w:pPr>
        <w:spacing w:after="40" w:before="100" w:line="252"/>
      </w:pPr>
      <w:r>
        <w:rPr>
          <w:rFonts w:ascii="Calibri" w:cs="Calibri" w:eastAsia="Calibri" w:hAnsi="Calibri"/>
          <w:b/>
          <w:bCs/>
          <w:sz w:val="20"/>
          <w:szCs w:val="20"/>
        </w:rPr>
        <w:t xml:space="preserve">Institutional</w:t>
      </w:r>
    </w:p>
    <w:p>
      <w:pPr>
        <w:spacing w:after="60" w:before="0" w:line="252"/>
      </w:pPr>
      <w:r>
        <w:rPr>
          <w:rFonts w:ascii="Calibri" w:cs="Calibri" w:eastAsia="Calibri" w:hAnsi="Calibri"/>
          <w:b/>
          <w:bCs/>
          <w:sz w:val="21"/>
          <w:szCs w:val="21"/>
        </w:rPr>
        <w:t xml:space="preserve">Swartkop Laerskool</w:t>
      </w:r>
      <w:r>
        <w:rPr>
          <w:rFonts w:ascii="Calibri" w:cs="Calibri" w:eastAsia="Calibri" w:hAnsi="Calibri"/>
          <w:sz w:val="21"/>
          <w:szCs w:val="21"/>
        </w:rPr>
        <w:t xml:space="preserve"> — Inov-Afric, freelance consulting; South Africa. Existing school campus. Architectural Technologist — hand-measured survey converted to an as-built BIM package as the base for renovation work.</w:t>
      </w:r>
    </w:p>
    <w:p>
      <w:pPr>
        <w:spacing w:after="60" w:before="0" w:line="252"/>
      </w:pPr>
      <w:r>
        <w:rPr>
          <w:rFonts w:ascii="Calibri" w:cs="Calibri" w:eastAsia="Calibri" w:hAnsi="Calibri"/>
          <w:b/>
          <w:bCs/>
          <w:sz w:val="21"/>
          <w:szCs w:val="21"/>
        </w:rPr>
        <w:t xml:space="preserve">Vhembe TVET College</w:t>
      </w:r>
      <w:r>
        <w:rPr>
          <w:rFonts w:ascii="Calibri" w:cs="Calibri" w:eastAsia="Calibri" w:hAnsi="Calibri"/>
          <w:sz w:val="21"/>
          <w:szCs w:val="21"/>
        </w:rPr>
        <w:t xml:space="preserve"> — ThetaPlan, freelance; Limpopo, South Africa. Multi-storey education campus, now under construction. Architectural Technologist — tender-stage detailing, area details, shopfront details and strip sections.</w:t>
      </w:r>
    </w:p>
    <w:p>
      <w:pPr>
        <w:spacing w:after="40" w:before="100" w:line="252"/>
      </w:pPr>
      <w:r>
        <w:rPr>
          <w:rFonts w:ascii="Calibri" w:cs="Calibri" w:eastAsia="Calibri" w:hAnsi="Calibri"/>
          <w:b/>
          <w:bCs/>
          <w:sz w:val="20"/>
          <w:szCs w:val="20"/>
        </w:rPr>
        <w:t xml:space="preserve">Heritage &amp; tourism</w:t>
      </w:r>
    </w:p>
    <w:p>
      <w:pPr>
        <w:spacing w:after="60" w:before="0" w:line="252"/>
      </w:pPr>
      <w:r>
        <w:rPr>
          <w:rFonts w:ascii="Calibri" w:cs="Calibri" w:eastAsia="Calibri" w:hAnsi="Calibri"/>
          <w:b/>
          <w:bCs/>
          <w:sz w:val="21"/>
          <w:szCs w:val="21"/>
        </w:rPr>
        <w:t xml:space="preserve">Barberton Geosites &amp; Viewpoints</w:t>
      </w:r>
      <w:r>
        <w:rPr>
          <w:rFonts w:ascii="Calibri" w:cs="Calibri" w:eastAsia="Calibri" w:hAnsi="Calibri"/>
          <w:sz w:val="21"/>
          <w:szCs w:val="21"/>
        </w:rPr>
        <w:t xml:space="preserve"> — Barberton, Mpumalanga, South Africa. Geosites and viewpoints along a heritage route. Senior Architectural Technologist, project team — rehabilitation proposals, visitor facilities and signage.</w:t>
      </w:r>
    </w:p>
    <w:p>
      <w:pPr>
        <w:spacing w:after="40" w:before="100" w:line="252"/>
      </w:pPr>
      <w:r>
        <w:rPr>
          <w:rFonts w:ascii="Calibri" w:cs="Calibri" w:eastAsia="Calibri" w:hAnsi="Calibri"/>
          <w:b/>
          <w:bCs/>
          <w:sz w:val="20"/>
          <w:szCs w:val="20"/>
        </w:rPr>
        <w:t xml:space="preserve">Condition assessment</w:t>
      </w:r>
    </w:p>
    <w:p>
      <w:pPr>
        <w:spacing w:after="60" w:before="0" w:line="252"/>
      </w:pPr>
      <w:r>
        <w:rPr>
          <w:rFonts w:ascii="Calibri" w:cs="Calibri" w:eastAsia="Calibri" w:hAnsi="Calibri"/>
          <w:b/>
          <w:bCs/>
          <w:sz w:val="21"/>
          <w:szCs w:val="21"/>
        </w:rPr>
        <w:t xml:space="preserve">Flamingo Heights</w:t>
      </w:r>
      <w:r>
        <w:rPr>
          <w:rFonts w:ascii="Calibri" w:cs="Calibri" w:eastAsia="Calibri" w:hAnsi="Calibri"/>
          <w:sz w:val="21"/>
          <w:szCs w:val="21"/>
        </w:rPr>
        <w:t xml:space="preserve"> — Deepblack Property Developers; South Africa. Condition assessment of existing social housing — defects, building condition and repair needs, with the drawing record reproduced from scratch.</w:t>
      </w:r>
    </w:p>
    <w:p>
      <w:pPr>
        <w:spacing w:after="60" w:before="0" w:line="252"/>
      </w:pPr>
      <w:r>
        <w:rPr>
          <w:rFonts w:ascii="Calibri" w:cs="Calibri" w:eastAsia="Calibri" w:hAnsi="Calibri"/>
          <w:b/>
          <w:bCs/>
          <w:sz w:val="21"/>
          <w:szCs w:val="21"/>
        </w:rPr>
        <w:t xml:space="preserve">Lotus Secondary School</w:t>
      </w:r>
      <w:r>
        <w:rPr>
          <w:rFonts w:ascii="Calibri" w:cs="Calibri" w:eastAsia="Calibri" w:hAnsi="Calibri"/>
          <w:sz w:val="21"/>
          <w:szCs w:val="21"/>
        </w:rPr>
        <w:t xml:space="preserve"> — KenMas Architects; South Africa. Condition assessment of an existing secondary school — defects recorded and as-built layouts produced for the project architect carrying the rehabilitation design.</w:t>
      </w:r>
    </w:p>
    <w:p>
      <w:pPr>
        <w:pBdr>
          <w:bottom w:val="single" w:color="000000" w:sz="6" w:space="2"/>
        </w:pBdr>
        <w:spacing w:after="100" w:before="260" w:line="252"/>
      </w:pPr>
      <w:r>
        <w:rPr>
          <w:rFonts w:ascii="Calibri" w:cs="Calibri" w:eastAsia="Calibri" w:hAnsi="Calibri"/>
          <w:b/>
          <w:bCs/>
          <w:caps/>
          <w:spacing w:val="12"/>
          <w:sz w:val="22"/>
          <w:szCs w:val="22"/>
        </w:rPr>
        <w:t xml:space="preserve">Education</w:t>
      </w:r>
    </w:p>
    <w:p>
      <w:pPr>
        <w:spacing w:after="60" w:before="0" w:line="252"/>
      </w:pPr>
      <w:r>
        <w:rPr>
          <w:rFonts w:ascii="Calibri" w:cs="Calibri" w:eastAsia="Calibri" w:hAnsi="Calibri"/>
          <w:b/>
          <w:bCs/>
          <w:sz w:val="21"/>
          <w:szCs w:val="21"/>
        </w:rPr>
        <w:t xml:space="preserve">National Diploma, Architectural Design &amp; Technology</w:t>
      </w:r>
      <w:r>
        <w:rPr>
          <w:rFonts w:ascii="Calibri" w:cs="Calibri" w:eastAsia="Calibri" w:hAnsi="Calibri"/>
          <w:sz w:val="21"/>
          <w:szCs w:val="21"/>
        </w:rPr>
        <w:t xml:space="preserve"> — Harare Polytechnic, 2015. Final year not completed; qualification not awarded.</w:t>
      </w:r>
    </w:p>
    <w:p>
      <w:pPr>
        <w:spacing w:after="80" w:before="0" w:line="252"/>
      </w:pPr>
      <w:r>
        <w:rPr>
          <w:rFonts w:ascii="Calibri" w:cs="Calibri" w:eastAsia="Calibri" w:hAnsi="Calibri"/>
          <w:b/>
          <w:bCs/>
          <w:sz w:val="21"/>
          <w:szCs w:val="21"/>
        </w:rPr>
        <w:t xml:space="preserve">National Certificate, Architectural Design &amp; Technology</w:t>
      </w:r>
      <w:r>
        <w:rPr>
          <w:rFonts w:ascii="Calibri" w:cs="Calibri" w:eastAsia="Calibri" w:hAnsi="Calibri"/>
          <w:sz w:val="21"/>
          <w:szCs w:val="21"/>
        </w:rPr>
        <w:t xml:space="preserve"> — Harare Polytechnic, 2013.</w:t>
      </w:r>
    </w:p>
    <w:p>
      <w:pPr>
        <w:pBdr>
          <w:bottom w:val="single" w:color="000000" w:sz="6" w:space="2"/>
        </w:pBdr>
        <w:spacing w:after="100" w:before="260" w:line="252"/>
      </w:pPr>
      <w:r>
        <w:rPr>
          <w:rFonts w:ascii="Calibri" w:cs="Calibri" w:eastAsia="Calibri" w:hAnsi="Calibri"/>
          <w:b/>
          <w:bCs/>
          <w:caps/>
          <w:spacing w:val="12"/>
          <w:sz w:val="22"/>
          <w:szCs w:val="22"/>
        </w:rPr>
        <w:t xml:space="preserve">Additional</w:t>
      </w:r>
    </w:p>
    <w:p>
      <w:pPr>
        <w:spacing w:after="60" w:before="0" w:line="252"/>
      </w:pPr>
      <w:r>
        <w:rPr>
          <w:rFonts w:ascii="Calibri" w:cs="Calibri" w:eastAsia="Calibri" w:hAnsi="Calibri"/>
          <w:b/>
          <w:bCs/>
          <w:sz w:val="21"/>
          <w:szCs w:val="21"/>
        </w:rPr>
        <w:t xml:space="preserve">Languages: </w:t>
      </w:r>
      <w:r>
        <w:rPr>
          <w:rFonts w:ascii="Calibri" w:cs="Calibri" w:eastAsia="Calibri" w:hAnsi="Calibri"/>
          <w:sz w:val="21"/>
          <w:szCs w:val="21"/>
        </w:rPr>
        <w:t xml:space="preserve">English (fluent).</w:t>
      </w:r>
    </w:p>
    <w:p>
      <w:pPr>
        <w:spacing w:after="60" w:before="0" w:line="252"/>
      </w:pPr>
      <w:r>
        <w:rPr>
          <w:rFonts w:ascii="Calibri" w:cs="Calibri" w:eastAsia="Calibri" w:hAnsi="Calibri"/>
          <w:b/>
          <w:bCs/>
          <w:sz w:val="21"/>
          <w:szCs w:val="21"/>
        </w:rPr>
        <w:t xml:space="preserve">Location: </w:t>
      </w:r>
      <w:r>
        <w:rPr>
          <w:rFonts w:ascii="Calibri" w:cs="Calibri" w:eastAsia="Calibri" w:hAnsi="Calibri"/>
          <w:sz w:val="21"/>
          <w:szCs w:val="21"/>
        </w:rPr>
        <w:t xml:space="preserve">Dubai, UAE. UAE resident permit. Available internationally and for remote work.</w:t>
      </w:r>
    </w:p>
    <w:p>
      <w:pPr>
        <w:spacing w:after="60" w:before="0" w:line="252"/>
      </w:pPr>
      <w:r>
        <w:rPr>
          <w:rFonts w:ascii="Calibri" w:cs="Calibri" w:eastAsia="Calibri" w:hAnsi="Calibri"/>
          <w:b/>
          <w:bCs/>
          <w:sz w:val="21"/>
          <w:szCs w:val="21"/>
        </w:rPr>
        <w:t xml:space="preserve">Portfolio: </w:t>
      </w:r>
      <w:r>
        <w:rPr>
          <w:rFonts w:ascii="Calibri" w:cs="Calibri" w:eastAsia="Calibri" w:hAnsi="Calibri"/>
          <w:sz w:val="21"/>
          <w:szCs w:val="21"/>
        </w:rPr>
        <w:t xml:space="preserve">ernix.io — project imagery, drawings and renders.</w:t>
      </w:r>
    </w:p>
    <w:p>
      <w:pPr>
        <w:spacing w:after="60" w:before="0" w:line="252"/>
      </w:pPr>
      <w:r>
        <w:rPr>
          <w:rFonts w:ascii="Calibri" w:cs="Calibri" w:eastAsia="Calibri" w:hAnsi="Calibri"/>
          <w:b/>
          <w:bCs/>
          <w:sz w:val="21"/>
          <w:szCs w:val="21"/>
        </w:rPr>
        <w:t xml:space="preserve">Current direction: </w:t>
      </w:r>
      <w:r>
        <w:rPr>
          <w:rFonts w:ascii="Calibri" w:cs="Calibri" w:eastAsia="Calibri" w:hAnsi="Calibri"/>
          <w:sz w:val="21"/>
          <w:szCs w:val="21"/>
        </w:rPr>
        <w:t xml:space="preserve">Robotics-aligned BIM coordination — extending model-to-site verification toward automated reality capture and deviation analysis. Working knowledge of C#, HTML and CSS.</w:t>
      </w:r>
    </w:p>
    <w:sectPr>
      <w:pgSz w:w="11906" w:h="16838" w:orient="portrait"/>
      <w:pgMar w:top="863" w:right="1008" w:bottom="863"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Ernest T. Mandisodza — CV</dc:title>
  <dc:creator>Ernest T. Mandisodza</dc:creator>
  <dc:description>Senior Architectural Technologist / BIM Coordinator</dc:description>
  <cp:lastModifiedBy>Un-named</cp:lastModifiedBy>
  <cp:revision>1</cp:revision>
  <dcterms:created xsi:type="dcterms:W3CDTF">2026-10-26T17:24:04.709Z</dcterms:created>
  <dcterms:modified xsi:type="dcterms:W3CDTF">2026-10-26T17:24:04.718Z</dcterms:modified>
</cp:coreProperties>
</file>

<file path=docProps/custom.xml><?xml version="1.0" encoding="utf-8"?>
<Properties xmlns="http://schemas.openxmlformats.org/officeDocument/2006/custom-properties" xmlns:vt="http://schemas.openxmlformats.org/officeDocument/2006/docPropsVTypes"/>
</file>